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rPr>
          <w:sz w:val="28"/>
          <w:szCs w:val="28"/>
        </w:rPr>
      </w:pPr>
      <w:r>
        <w:rPr>
          <w:sz w:val="28"/>
          <w:szCs w:val="28"/>
        </w:rPr>
        <w:t>День победы - подвиг, который мы не забудем.</w:t>
      </w:r>
    </w:p>
    <w:p w14:paraId="00000002">
      <w:pPr>
        <w:rPr>
          <w:sz w:val="28"/>
          <w:szCs w:val="28"/>
        </w:rPr>
      </w:pPr>
      <w:r>
        <w:rPr>
          <w:sz w:val="28"/>
          <w:szCs w:val="28"/>
          <w:lang w:val="ru-RU"/>
        </w:rPr>
        <w:t>День Победы - это праздник, который напоминает нам о подвигах наших дедушек и бабушек, которые сражались за нашу Родину. Мы должны помнить о тех, кто отдал свои жизни за наше будущее, и чтить их память. Это день, когда мы должны быть благодарны за мир и свободу, которые мы имеем сегодня.</w:t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footnotePr/>
  <w:endnotePr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Степанова</dc:creator>
  <cp:lastModifiedBy>Людмила Степанова</cp:lastModifiedBy>
</cp:coreProperties>
</file>